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71DB" w:rsidRPr="006071DB" w:rsidRDefault="006071DB" w:rsidP="006071DB">
      <w:pPr>
        <w:shd w:val="clear" w:color="auto" w:fill="FFFFFF"/>
        <w:spacing w:after="0" w:line="240" w:lineRule="auto"/>
        <w:outlineLvl w:val="0"/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  <w14:ligatures w14:val="none"/>
        </w:rPr>
      </w:pPr>
      <w:r w:rsidRPr="006071DB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  <w14:ligatures w14:val="none"/>
        </w:rPr>
        <w:t>Métaux de base : dans l’attente du retour des acheteurs</w:t>
      </w:r>
    </w:p>
    <w:p w:rsidR="006071DB" w:rsidRDefault="006071DB" w:rsidP="006071DB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3E001F"/>
          <w:kern w:val="0"/>
          <w:sz w:val="30"/>
          <w:szCs w:val="30"/>
          <w:lang w:eastAsia="fr-BE"/>
          <w14:ligatures w14:val="none"/>
        </w:rPr>
      </w:pPr>
    </w:p>
    <w:p w:rsidR="006071DB" w:rsidRPr="006071DB" w:rsidRDefault="006071DB" w:rsidP="006071DB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proofErr w:type="gramStart"/>
      <w:r w:rsidRPr="006071DB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Rotterdam.–</w:t>
      </w:r>
      <w:proofErr w:type="gramEnd"/>
      <w:r w:rsidRPr="006071DB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 xml:space="preserve"> Les traders et les producteurs attendent le retour des usines consommatrices, qui redémarrent lentement leur activité au terme des congés d’été. En attendant, la tendance reste à la baisse, compte tenu de la faiblesse de la demande.</w:t>
      </w:r>
    </w:p>
    <w:p w:rsidR="006071DB" w:rsidRPr="006071DB" w:rsidRDefault="006071DB" w:rsidP="006071DB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6071D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 </w:t>
      </w:r>
    </w:p>
    <w:p w:rsidR="006071DB" w:rsidRPr="006071DB" w:rsidRDefault="006071DB" w:rsidP="006071DB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6071DB">
        <w:rPr>
          <w:rFonts w:ascii="Lato" w:eastAsia="Times New Roman" w:hAnsi="Lato" w:cs="Times New Roman"/>
          <w:b/>
          <w:bCs/>
          <w:color w:val="A52A2A"/>
          <w:kern w:val="0"/>
          <w:sz w:val="23"/>
          <w:szCs w:val="23"/>
          <w:lang w:eastAsia="fr-BE"/>
          <w14:ligatures w14:val="none"/>
        </w:rPr>
        <w:t>Aluminium : sous pression</w:t>
      </w:r>
    </w:p>
    <w:p w:rsidR="006071DB" w:rsidRPr="006071DB" w:rsidRDefault="006071DB" w:rsidP="006071DB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6071D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Les primes restent sous pression, tandis que les opérateurs effectuent leur retour de congés. En </w:t>
      </w:r>
      <w:r w:rsidRPr="006071DB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Italie</w:t>
      </w:r>
      <w:r w:rsidRPr="006071D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, les primes sur les </w:t>
      </w:r>
      <w:r w:rsidRPr="006071DB">
        <w:rPr>
          <w:rFonts w:ascii="Lato" w:eastAsia="Times New Roman" w:hAnsi="Lato" w:cs="Times New Roman"/>
          <w:color w:val="000000"/>
          <w:kern w:val="0"/>
          <w:sz w:val="23"/>
          <w:szCs w:val="23"/>
          <w:u w:val="single"/>
          <w:lang w:eastAsia="fr-BE"/>
          <w14:ligatures w14:val="none"/>
        </w:rPr>
        <w:t>lingots d’aluminium dédouanés P1020</w:t>
      </w:r>
      <w:r w:rsidRPr="006071D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, disponibles sur une base FCA, ont abandonné 10 $ sur une semaine, à 270-300 $/t. Elles sont en retrait de 21% depuis leur sommet de mars-avril de 340-360 $/t. « </w:t>
      </w:r>
      <w:r w:rsidRPr="006071DB">
        <w:rPr>
          <w:rFonts w:ascii="Lato" w:eastAsia="Times New Roman" w:hAnsi="Lato" w:cs="Times New Roman"/>
          <w:i/>
          <w:iCs/>
          <w:color w:val="000000"/>
          <w:kern w:val="0"/>
          <w:sz w:val="23"/>
          <w:szCs w:val="23"/>
          <w:lang w:eastAsia="fr-BE"/>
          <w14:ligatures w14:val="none"/>
        </w:rPr>
        <w:t>Les consommateurs reviennent progressivement aux affaires, en particulier ceux du secteur automobile. Nous sommes en discussion avec eux </w:t>
      </w:r>
      <w:r w:rsidRPr="006071D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», indique un trader italien. Des traders font mention de primes scellées à 270 $/t, des transactions qui ont contribué à la contraction des primes. L’activité est restée ténue durant l’été, en raison des fermetures saisonnières d’usines. « </w:t>
      </w:r>
      <w:r w:rsidRPr="006071DB">
        <w:rPr>
          <w:rFonts w:ascii="Lato" w:eastAsia="Times New Roman" w:hAnsi="Lato" w:cs="Times New Roman"/>
          <w:i/>
          <w:iCs/>
          <w:color w:val="000000"/>
          <w:kern w:val="0"/>
          <w:sz w:val="23"/>
          <w:szCs w:val="23"/>
          <w:lang w:eastAsia="fr-BE"/>
          <w14:ligatures w14:val="none"/>
        </w:rPr>
        <w:t>Les primes nouées sur la péninsule s’inscrivent dans le sillage de la baisse enregistrée cet été à Rotterdam </w:t>
      </w:r>
      <w:r w:rsidRPr="006071D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», explique le trader.</w:t>
      </w:r>
    </w:p>
    <w:p w:rsidR="006071DB" w:rsidRPr="006071DB" w:rsidRDefault="006071DB" w:rsidP="006071DB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6071D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A </w:t>
      </w:r>
      <w:r w:rsidRPr="006071DB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Rotterdam</w:t>
      </w:r>
      <w:r w:rsidRPr="006071D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, le retour des consommateurs se fait également sentir ; le nombre de sollicitations augmente mais les volumes d’échanges restent pour l’heure limités, en raison des perspectives de demande moroses. « </w:t>
      </w:r>
      <w:r w:rsidRPr="006071DB">
        <w:rPr>
          <w:rFonts w:ascii="Lato" w:eastAsia="Times New Roman" w:hAnsi="Lato" w:cs="Times New Roman"/>
          <w:i/>
          <w:iCs/>
          <w:color w:val="000000"/>
          <w:kern w:val="0"/>
          <w:sz w:val="23"/>
          <w:szCs w:val="23"/>
          <w:lang w:eastAsia="fr-BE"/>
          <w14:ligatures w14:val="none"/>
        </w:rPr>
        <w:t>Les offres sont nombreuses, mais très peu trouvent preneur ; difficile de ce fait d’évaluer le niveau des primes </w:t>
      </w:r>
      <w:r w:rsidRPr="006071D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 xml:space="preserve">», estime un producteur. La faiblesse </w:t>
      </w:r>
      <w:proofErr w:type="gramStart"/>
      <w:r w:rsidRPr="006071D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de</w:t>
      </w:r>
      <w:proofErr w:type="gramEnd"/>
      <w:r w:rsidRPr="006071D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 xml:space="preserve"> la liquidité a pesé sur les primes négociées sur les </w:t>
      </w:r>
      <w:r w:rsidRPr="006071DB">
        <w:rPr>
          <w:rFonts w:ascii="Lato" w:eastAsia="Times New Roman" w:hAnsi="Lato" w:cs="Times New Roman"/>
          <w:color w:val="000000"/>
          <w:kern w:val="0"/>
          <w:sz w:val="23"/>
          <w:szCs w:val="23"/>
          <w:u w:val="single"/>
          <w:lang w:eastAsia="fr-BE"/>
          <w14:ligatures w14:val="none"/>
        </w:rPr>
        <w:t>lingots P1020 dédouanés</w:t>
      </w:r>
      <w:r w:rsidRPr="006071D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, au départ des magasins de </w:t>
      </w:r>
      <w:r w:rsidRPr="006071DB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Rotterdam</w:t>
      </w:r>
      <w:r w:rsidRPr="006071D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, qui ont reculé à 260-280 $/t. Elles sont en recul de 5% depuis le début du mois d’août et de 16% depuis leur sommet de mars-avril de 320-340 $/t. Certaines transactions ont été conclues sous les 265 $/t, ces derniers jours, dans un marché très concurrentiel côté vendeurs. « </w:t>
      </w:r>
      <w:r w:rsidRPr="006071DB">
        <w:rPr>
          <w:rFonts w:ascii="Lato" w:eastAsia="Times New Roman" w:hAnsi="Lato" w:cs="Times New Roman"/>
          <w:i/>
          <w:iCs/>
          <w:color w:val="000000"/>
          <w:kern w:val="0"/>
          <w:sz w:val="23"/>
          <w:szCs w:val="23"/>
          <w:lang w:eastAsia="fr-BE"/>
          <w14:ligatures w14:val="none"/>
        </w:rPr>
        <w:t>Pas de quoi s’alarmer, </w:t>
      </w:r>
      <w:r w:rsidRPr="006071D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estime un trader, </w:t>
      </w:r>
      <w:r w:rsidRPr="006071DB">
        <w:rPr>
          <w:rFonts w:ascii="Lato" w:eastAsia="Times New Roman" w:hAnsi="Lato" w:cs="Times New Roman"/>
          <w:i/>
          <w:iCs/>
          <w:color w:val="000000"/>
          <w:kern w:val="0"/>
          <w:sz w:val="23"/>
          <w:szCs w:val="23"/>
          <w:lang w:eastAsia="fr-BE"/>
          <w14:ligatures w14:val="none"/>
        </w:rPr>
        <w:t>les importations restent limitées sur le continent, compte tenu de la faiblesse de la demande prompte. L’impact se fera sentir quand les acheteurs passeront aux achats »</w:t>
      </w:r>
      <w:r w:rsidRPr="006071D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. Les primes sur les lingots non dédouanés sont soutenues par la position de </w:t>
      </w:r>
      <w:proofErr w:type="spellStart"/>
      <w:r w:rsidRPr="006071DB">
        <w:rPr>
          <w:rFonts w:ascii="Lato" w:eastAsia="Times New Roman" w:hAnsi="Lato" w:cs="Times New Roman"/>
          <w:i/>
          <w:iCs/>
          <w:color w:val="000000"/>
          <w:kern w:val="0"/>
          <w:sz w:val="23"/>
          <w:szCs w:val="23"/>
          <w:lang w:eastAsia="fr-BE"/>
          <w14:ligatures w14:val="none"/>
        </w:rPr>
        <w:t>contango</w:t>
      </w:r>
      <w:proofErr w:type="spellEnd"/>
      <w:r w:rsidRPr="006071DB">
        <w:rPr>
          <w:rFonts w:ascii="Lato" w:eastAsia="Times New Roman" w:hAnsi="Lato" w:cs="Times New Roman"/>
          <w:i/>
          <w:iCs/>
          <w:color w:val="000000"/>
          <w:kern w:val="0"/>
          <w:sz w:val="23"/>
          <w:szCs w:val="23"/>
          <w:lang w:eastAsia="fr-BE"/>
          <w14:ligatures w14:val="none"/>
        </w:rPr>
        <w:t> </w:t>
      </w:r>
      <w:r w:rsidRPr="006071D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des contrats comptant et trois mois sur le LME, aux alentours de 35 $/t. « </w:t>
      </w:r>
      <w:r w:rsidRPr="006071DB">
        <w:rPr>
          <w:rFonts w:ascii="Lato" w:eastAsia="Times New Roman" w:hAnsi="Lato" w:cs="Times New Roman"/>
          <w:i/>
          <w:iCs/>
          <w:color w:val="000000"/>
          <w:kern w:val="0"/>
          <w:sz w:val="23"/>
          <w:szCs w:val="23"/>
          <w:lang w:eastAsia="fr-BE"/>
          <w14:ligatures w14:val="none"/>
        </w:rPr>
        <w:t xml:space="preserve">Difficile de nouer des transactions, les opérations de déstockage ont toujours lieu et la valeur de </w:t>
      </w:r>
      <w:proofErr w:type="spellStart"/>
      <w:r w:rsidRPr="006071DB">
        <w:rPr>
          <w:rFonts w:ascii="Lato" w:eastAsia="Times New Roman" w:hAnsi="Lato" w:cs="Times New Roman"/>
          <w:i/>
          <w:iCs/>
          <w:color w:val="000000"/>
          <w:kern w:val="0"/>
          <w:sz w:val="23"/>
          <w:szCs w:val="23"/>
          <w:lang w:eastAsia="fr-BE"/>
          <w14:ligatures w14:val="none"/>
        </w:rPr>
        <w:t>contango</w:t>
      </w:r>
      <w:proofErr w:type="spellEnd"/>
      <w:r w:rsidRPr="006071DB">
        <w:rPr>
          <w:rFonts w:ascii="Lato" w:eastAsia="Times New Roman" w:hAnsi="Lato" w:cs="Times New Roman"/>
          <w:i/>
          <w:iCs/>
          <w:color w:val="000000"/>
          <w:kern w:val="0"/>
          <w:sz w:val="23"/>
          <w:szCs w:val="23"/>
          <w:lang w:eastAsia="fr-BE"/>
          <w14:ligatures w14:val="none"/>
        </w:rPr>
        <w:t xml:space="preserve"> a décliné comparé à il y a un mois [elle était à 50 $, ndlr] </w:t>
      </w:r>
      <w:r w:rsidRPr="006071D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», ajoute un troisième trader. Les primes sur les </w:t>
      </w:r>
      <w:r w:rsidRPr="006071DB">
        <w:rPr>
          <w:rFonts w:ascii="Lato" w:eastAsia="Times New Roman" w:hAnsi="Lato" w:cs="Times New Roman"/>
          <w:color w:val="000000"/>
          <w:kern w:val="0"/>
          <w:sz w:val="23"/>
          <w:szCs w:val="23"/>
          <w:u w:val="single"/>
          <w:lang w:eastAsia="fr-BE"/>
          <w14:ligatures w14:val="none"/>
        </w:rPr>
        <w:t>lingots non dédouanés</w:t>
      </w:r>
      <w:r w:rsidRPr="006071D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 fléchissent, elles aussi, à 200-215 $/t.</w:t>
      </w:r>
    </w:p>
    <w:p w:rsidR="006071DB" w:rsidRPr="006071DB" w:rsidRDefault="006071DB" w:rsidP="006071DB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6071D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 </w:t>
      </w:r>
    </w:p>
    <w:p w:rsidR="006071DB" w:rsidRPr="006071DB" w:rsidRDefault="006071DB" w:rsidP="006071DB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6071DB">
        <w:rPr>
          <w:rFonts w:ascii="Lato" w:eastAsia="Times New Roman" w:hAnsi="Lato" w:cs="Times New Roman"/>
          <w:b/>
          <w:bCs/>
          <w:color w:val="A52A2A"/>
          <w:kern w:val="0"/>
          <w:sz w:val="23"/>
          <w:szCs w:val="23"/>
          <w:lang w:eastAsia="fr-BE"/>
          <w14:ligatures w14:val="none"/>
        </w:rPr>
        <w:t>Billettes d’alu : demande faible</w:t>
      </w:r>
    </w:p>
    <w:p w:rsidR="006071DB" w:rsidRPr="006071DB" w:rsidRDefault="006071DB" w:rsidP="006071DB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6071D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La tendance est également baissière sur le marché européen des billettes d’aluminium, en raison des besoins des utilisateurs finaux limités à la portion congrue. Les primes sur les </w:t>
      </w:r>
      <w:r w:rsidRPr="006071DB">
        <w:rPr>
          <w:rFonts w:ascii="Lato" w:eastAsia="Times New Roman" w:hAnsi="Lato" w:cs="Times New Roman"/>
          <w:color w:val="000000"/>
          <w:kern w:val="0"/>
          <w:sz w:val="23"/>
          <w:szCs w:val="23"/>
          <w:u w:val="single"/>
          <w:lang w:eastAsia="fr-BE"/>
          <w14:ligatures w14:val="none"/>
        </w:rPr>
        <w:t>billettes d’extrusion 6063</w:t>
      </w:r>
      <w:r w:rsidRPr="006071D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 livrées en </w:t>
      </w:r>
      <w:r w:rsidRPr="006071DB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Italie</w:t>
      </w:r>
      <w:r w:rsidRPr="006071D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 xml:space="preserve"> (dans la région de </w:t>
      </w:r>
      <w:proofErr w:type="spellStart"/>
      <w:r w:rsidRPr="006071D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Briesca</w:t>
      </w:r>
      <w:proofErr w:type="spellEnd"/>
      <w:r w:rsidRPr="006071D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) sont stables sur une semaine, à 490-530 $/t, après leur recul, la semaine passée, depuis la fourchette de 500-550 $/t. La demande issue des secteurs clés, tels que la construction est ténue, alors qu’elle est, à l’accoutumée, robuste durant les mois d’été. « </w:t>
      </w:r>
      <w:r w:rsidRPr="006071DB">
        <w:rPr>
          <w:rFonts w:ascii="Lato" w:eastAsia="Times New Roman" w:hAnsi="Lato" w:cs="Times New Roman"/>
          <w:i/>
          <w:iCs/>
          <w:color w:val="000000"/>
          <w:kern w:val="0"/>
          <w:sz w:val="23"/>
          <w:szCs w:val="23"/>
          <w:lang w:eastAsia="fr-BE"/>
          <w14:ligatures w14:val="none"/>
        </w:rPr>
        <w:t>Les prises de commandes reculent,</w:t>
      </w:r>
      <w:r w:rsidRPr="006071D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 constate, inquiet, un producteur. </w:t>
      </w:r>
      <w:r w:rsidRPr="006071DB">
        <w:rPr>
          <w:rFonts w:ascii="Lato" w:eastAsia="Times New Roman" w:hAnsi="Lato" w:cs="Times New Roman"/>
          <w:i/>
          <w:iCs/>
          <w:color w:val="000000"/>
          <w:kern w:val="0"/>
          <w:sz w:val="23"/>
          <w:szCs w:val="23"/>
          <w:lang w:eastAsia="fr-BE"/>
          <w14:ligatures w14:val="none"/>
        </w:rPr>
        <w:t>La situation se dégrade. J’espère que j’aurai un carnet de commandes rempli en septembre, mais au-delà, j’en doute. Les acteurs du marché ne sont pas encore tous revenus aux affaires pour les tonnages du 4</w:t>
      </w:r>
      <w:r w:rsidRPr="006071DB">
        <w:rPr>
          <w:rFonts w:ascii="Lato" w:eastAsia="Times New Roman" w:hAnsi="Lato" w:cs="Times New Roman"/>
          <w:i/>
          <w:iCs/>
          <w:color w:val="000000"/>
          <w:kern w:val="0"/>
          <w:sz w:val="23"/>
          <w:szCs w:val="23"/>
          <w:vertAlign w:val="superscript"/>
          <w:lang w:eastAsia="fr-BE"/>
          <w14:ligatures w14:val="none"/>
        </w:rPr>
        <w:t>e</w:t>
      </w:r>
      <w:r w:rsidRPr="006071DB">
        <w:rPr>
          <w:rFonts w:ascii="Lato" w:eastAsia="Times New Roman" w:hAnsi="Lato" w:cs="Times New Roman"/>
          <w:i/>
          <w:iCs/>
          <w:color w:val="000000"/>
          <w:kern w:val="0"/>
          <w:sz w:val="23"/>
          <w:szCs w:val="23"/>
          <w:lang w:eastAsia="fr-BE"/>
          <w14:ligatures w14:val="none"/>
        </w:rPr>
        <w:t> trimestre </w:t>
      </w:r>
      <w:r w:rsidRPr="006071D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». </w:t>
      </w:r>
      <w:r w:rsidRPr="006071DB">
        <w:rPr>
          <w:rFonts w:ascii="Lato" w:eastAsia="Times New Roman" w:hAnsi="Lato" w:cs="Times New Roman"/>
          <w:i/>
          <w:iCs/>
          <w:color w:val="000000"/>
          <w:kern w:val="0"/>
          <w:sz w:val="23"/>
          <w:szCs w:val="23"/>
          <w:lang w:eastAsia="fr-BE"/>
          <w14:ligatures w14:val="none"/>
        </w:rPr>
        <w:t>Idem </w:t>
      </w:r>
      <w:r w:rsidRPr="006071D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pour les primes négociées sur les </w:t>
      </w:r>
      <w:r w:rsidRPr="006071DB">
        <w:rPr>
          <w:rFonts w:ascii="Lato" w:eastAsia="Times New Roman" w:hAnsi="Lato" w:cs="Times New Roman"/>
          <w:color w:val="000000"/>
          <w:kern w:val="0"/>
          <w:sz w:val="23"/>
          <w:szCs w:val="23"/>
          <w:u w:val="single"/>
          <w:lang w:eastAsia="fr-BE"/>
          <w14:ligatures w14:val="none"/>
        </w:rPr>
        <w:t>billettes livrées</w:t>
      </w:r>
      <w:r w:rsidRPr="006071D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 dans la Ruhr, région du nord de l’</w:t>
      </w:r>
      <w:r w:rsidRPr="006071DB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Allemagne</w:t>
      </w:r>
      <w:r w:rsidRPr="006071D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 xml:space="preserve">, qui demeurent à 465-500 $/t, après un recul la semaine passée. Les primes sont à leur plus bas </w:t>
      </w:r>
      <w:r w:rsidRPr="006071D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lastRenderedPageBreak/>
        <w:t>niveau depuis janvier. Les primes sur les </w:t>
      </w:r>
      <w:r w:rsidRPr="006071DB">
        <w:rPr>
          <w:rFonts w:ascii="Lato" w:eastAsia="Times New Roman" w:hAnsi="Lato" w:cs="Times New Roman"/>
          <w:color w:val="000000"/>
          <w:kern w:val="0"/>
          <w:sz w:val="23"/>
          <w:szCs w:val="23"/>
          <w:u w:val="single"/>
          <w:lang w:eastAsia="fr-BE"/>
          <w14:ligatures w14:val="none"/>
        </w:rPr>
        <w:t>billettes livrées</w:t>
      </w:r>
      <w:r w:rsidRPr="006071D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 en </w:t>
      </w:r>
      <w:r w:rsidRPr="006071DB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Espagne </w:t>
      </w:r>
      <w:r w:rsidRPr="006071D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sont stables à 470-500 $/t.</w:t>
      </w:r>
    </w:p>
    <w:p w:rsidR="006071DB" w:rsidRPr="006071DB" w:rsidRDefault="006071DB" w:rsidP="006071DB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6071D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 </w:t>
      </w:r>
    </w:p>
    <w:p w:rsidR="006071DB" w:rsidRPr="006071DB" w:rsidRDefault="006071DB" w:rsidP="006071DB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6071DB">
        <w:rPr>
          <w:rFonts w:ascii="Lato" w:eastAsia="Times New Roman" w:hAnsi="Lato" w:cs="Times New Roman"/>
          <w:b/>
          <w:bCs/>
          <w:color w:val="A52A2A"/>
          <w:kern w:val="0"/>
          <w:sz w:val="23"/>
          <w:szCs w:val="23"/>
          <w:lang w:eastAsia="fr-BE"/>
          <w14:ligatures w14:val="none"/>
        </w:rPr>
        <w:t>Zinc : offres en retrait</w:t>
      </w:r>
    </w:p>
    <w:p w:rsidR="006071DB" w:rsidRPr="006071DB" w:rsidRDefault="006071DB" w:rsidP="006071DB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6071D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Les primes finalisées sur le marché européen du zinc se sont stabilisées, après un recul la semaine passée. Elles sont, toutefois, sous pression, au regard des offres effectuées à la baisse, mais la faiblesse de la liquidité empêche, pour l’heure, qu’elles ne se contractent. Ainsi, les primes sur les </w:t>
      </w:r>
      <w:r w:rsidRPr="006071DB">
        <w:rPr>
          <w:rFonts w:ascii="Lato" w:eastAsia="Times New Roman" w:hAnsi="Lato" w:cs="Times New Roman"/>
          <w:color w:val="000000"/>
          <w:kern w:val="0"/>
          <w:sz w:val="23"/>
          <w:szCs w:val="23"/>
          <w:u w:val="single"/>
          <w:lang w:eastAsia="fr-BE"/>
          <w14:ligatures w14:val="none"/>
        </w:rPr>
        <w:t>lingots de zinc SHG</w:t>
      </w:r>
      <w:r w:rsidRPr="006071D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 FCA </w:t>
      </w:r>
      <w:r w:rsidRPr="006071DB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Anvers </w:t>
      </w:r>
      <w:r w:rsidRPr="006071D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et </w:t>
      </w:r>
      <w:r w:rsidRPr="006071DB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Rotterdam </w:t>
      </w:r>
      <w:r w:rsidRPr="006071D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sont inchangées à 280-320 $/t. Les différences de primes persistent en fonction des origines du métal, s’il est produit en Europe ou importé. Le zinc importé depuis l’Asie du Sud-Est est proposé sous la barre des 300 $/t, tandis que le métal européen en vaut 70 $/t de plus. Outre la contraction de l’activité industrielle, les coûts élevés de l’énergie vont affecter le marché du zinc au cours des prochains mois, indiquent des sources.</w:t>
      </w:r>
    </w:p>
    <w:p w:rsidR="006071DB" w:rsidRPr="006071DB" w:rsidRDefault="006071DB" w:rsidP="006071DB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6071D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En </w:t>
      </w:r>
      <w:r w:rsidRPr="006071DB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Italie</w:t>
      </w:r>
      <w:r w:rsidRPr="006071D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, le marché est également ténu en termes de volumes d’échanges, en raison du contexte économique et de l’absence de certains acteurs du marché. En conséquence, les primes conclues sur les </w:t>
      </w:r>
      <w:r w:rsidRPr="006071DB">
        <w:rPr>
          <w:rFonts w:ascii="Lato" w:eastAsia="Times New Roman" w:hAnsi="Lato" w:cs="Times New Roman"/>
          <w:color w:val="000000"/>
          <w:kern w:val="0"/>
          <w:sz w:val="23"/>
          <w:szCs w:val="23"/>
          <w:u w:val="single"/>
          <w:lang w:eastAsia="fr-BE"/>
          <w14:ligatures w14:val="none"/>
        </w:rPr>
        <w:t>lingots de zinc SHG</w:t>
      </w:r>
      <w:r w:rsidRPr="006071D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 FCA </w:t>
      </w:r>
      <w:r w:rsidRPr="006071DB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Italie </w:t>
      </w:r>
      <w:r w:rsidRPr="006071D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sont stationnaires à 340-350 $/t. </w:t>
      </w:r>
      <w:r w:rsidRPr="006071DB">
        <w:rPr>
          <w:rFonts w:ascii="Lato" w:eastAsia="Times New Roman" w:hAnsi="Lato" w:cs="Times New Roman"/>
          <w:i/>
          <w:iCs/>
          <w:color w:val="000000"/>
          <w:kern w:val="0"/>
          <w:sz w:val="23"/>
          <w:szCs w:val="23"/>
          <w:lang w:eastAsia="fr-BE"/>
          <w14:ligatures w14:val="none"/>
        </w:rPr>
        <w:t>Idem</w:t>
      </w:r>
      <w:r w:rsidRPr="006071D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 pour les primes sur les </w:t>
      </w:r>
      <w:r w:rsidRPr="006071DB">
        <w:rPr>
          <w:rFonts w:ascii="Lato" w:eastAsia="Times New Roman" w:hAnsi="Lato" w:cs="Times New Roman"/>
          <w:color w:val="000000"/>
          <w:kern w:val="0"/>
          <w:sz w:val="23"/>
          <w:szCs w:val="23"/>
          <w:u w:val="single"/>
          <w:lang w:eastAsia="fr-BE"/>
          <w14:ligatures w14:val="none"/>
        </w:rPr>
        <w:t>lingots </w:t>
      </w:r>
      <w:r w:rsidRPr="006071D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livrés qui sont stables à 390-410 $/t.</w:t>
      </w:r>
    </w:p>
    <w:p w:rsidR="006071DB" w:rsidRPr="006071DB" w:rsidRDefault="006071DB" w:rsidP="006071DB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6071D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 </w:t>
      </w:r>
    </w:p>
    <w:p w:rsidR="006071DB" w:rsidRPr="006071DB" w:rsidRDefault="006071DB" w:rsidP="006071DB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6071DB">
        <w:rPr>
          <w:rFonts w:ascii="Lato" w:eastAsia="Times New Roman" w:hAnsi="Lato" w:cs="Times New Roman"/>
          <w:b/>
          <w:bCs/>
          <w:color w:val="A52A2A"/>
          <w:kern w:val="0"/>
          <w:sz w:val="23"/>
          <w:szCs w:val="23"/>
          <w:lang w:eastAsia="fr-BE"/>
          <w14:ligatures w14:val="none"/>
        </w:rPr>
        <w:t>Nickel : stable</w:t>
      </w:r>
    </w:p>
    <w:p w:rsidR="006071DB" w:rsidRPr="006071DB" w:rsidRDefault="006071DB" w:rsidP="006071DB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6071D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Les échanges restent également limités, sur le marché européen du nickel, tandis que les acheteurs prennent la température. Les primes sur les </w:t>
      </w:r>
      <w:r w:rsidRPr="006071DB">
        <w:rPr>
          <w:rFonts w:ascii="Lato" w:eastAsia="Times New Roman" w:hAnsi="Lato" w:cs="Times New Roman"/>
          <w:color w:val="000000"/>
          <w:kern w:val="0"/>
          <w:sz w:val="23"/>
          <w:szCs w:val="23"/>
          <w:u w:val="single"/>
          <w:lang w:eastAsia="fr-BE"/>
          <w14:ligatures w14:val="none"/>
        </w:rPr>
        <w:t>briquettes</w:t>
      </w:r>
      <w:r w:rsidRPr="006071D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 tiennent leur salut des tensions sur les disponibilités : elles se maintiennent à 300-550 $/t, au départ des entrepôts de </w:t>
      </w:r>
      <w:r w:rsidRPr="006071DB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Rotterdam</w:t>
      </w:r>
      <w:r w:rsidRPr="006071D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. « </w:t>
      </w:r>
      <w:r w:rsidRPr="006071DB">
        <w:rPr>
          <w:rFonts w:ascii="Lato" w:eastAsia="Times New Roman" w:hAnsi="Lato" w:cs="Times New Roman"/>
          <w:i/>
          <w:iCs/>
          <w:color w:val="000000"/>
          <w:kern w:val="0"/>
          <w:sz w:val="23"/>
          <w:szCs w:val="23"/>
          <w:lang w:eastAsia="fr-BE"/>
          <w14:ligatures w14:val="none"/>
        </w:rPr>
        <w:t>Globalement le marché est calme, il jauge le niveau des primes et la demande commence à s’étoffer un peu </w:t>
      </w:r>
      <w:r w:rsidRPr="006071D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», résume un trader. Les primes sur les </w:t>
      </w:r>
      <w:r w:rsidRPr="006071DB">
        <w:rPr>
          <w:rFonts w:ascii="Lato" w:eastAsia="Times New Roman" w:hAnsi="Lato" w:cs="Times New Roman"/>
          <w:color w:val="000000"/>
          <w:kern w:val="0"/>
          <w:sz w:val="23"/>
          <w:szCs w:val="23"/>
          <w:u w:val="single"/>
          <w:lang w:eastAsia="fr-BE"/>
          <w14:ligatures w14:val="none"/>
        </w:rPr>
        <w:t>cathodes entières</w:t>
      </w:r>
      <w:r w:rsidRPr="006071D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 et </w:t>
      </w:r>
      <w:r w:rsidRPr="006071DB">
        <w:rPr>
          <w:rFonts w:ascii="Lato" w:eastAsia="Times New Roman" w:hAnsi="Lato" w:cs="Times New Roman"/>
          <w:color w:val="000000"/>
          <w:kern w:val="0"/>
          <w:sz w:val="23"/>
          <w:szCs w:val="23"/>
          <w:u w:val="single"/>
          <w:lang w:eastAsia="fr-BE"/>
          <w14:ligatures w14:val="none"/>
        </w:rPr>
        <w:t>coupées</w:t>
      </w:r>
      <w:r w:rsidRPr="006071D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 sont inchangées, respectivement, à 400-700 $/t et 700-900 $/t.</w:t>
      </w:r>
    </w:p>
    <w:p w:rsidR="00287462" w:rsidRDefault="00287462"/>
    <w:sectPr w:rsidR="00287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1DB"/>
    <w:rsid w:val="00287462"/>
    <w:rsid w:val="0060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D9EEE"/>
  <w15:chartTrackingRefBased/>
  <w15:docId w15:val="{DA766AC0-5554-4D36-AD1B-39BE09F66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830</Words>
  <Characters>4568</Characters>
  <Application>Microsoft Office Word</Application>
  <DocSecurity>0</DocSecurity>
  <Lines>38</Lines>
  <Paragraphs>10</Paragraphs>
  <ScaleCrop>false</ScaleCrop>
  <Company/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Klinck</dc:creator>
  <cp:keywords/>
  <dc:description/>
  <cp:lastModifiedBy>Sebastien Klinck</cp:lastModifiedBy>
  <cp:revision>1</cp:revision>
  <dcterms:created xsi:type="dcterms:W3CDTF">2023-09-04T12:25:00Z</dcterms:created>
  <dcterms:modified xsi:type="dcterms:W3CDTF">2023-09-04T12:26:00Z</dcterms:modified>
</cp:coreProperties>
</file>